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hAnsi="隶书" w:eastAsia="隶书" w:cs="隶书"/>
          <w:sz w:val="30"/>
          <w:szCs w:val="30"/>
        </w:rPr>
      </w:pPr>
      <w:r>
        <w:rPr>
          <w:rFonts w:ascii="隶书" w:hAnsi="隶书" w:eastAsia="隶书" w:cs="隶书"/>
          <w:sz w:val="30"/>
          <w:szCs w:val="30"/>
        </w:rPr>
        <w:t xml:space="preserve"> </w:t>
      </w:r>
      <w:r>
        <w:rPr>
          <w:rFonts w:hint="eastAsia" w:ascii="隶书" w:hAnsi="隶书" w:eastAsia="隶书" w:cs="隶书"/>
          <w:sz w:val="30"/>
          <w:szCs w:val="30"/>
        </w:rPr>
        <w:t>产</w:t>
      </w:r>
      <w:r>
        <w:rPr>
          <w:rFonts w:ascii="隶书" w:hAnsi="隶书" w:eastAsia="隶书" w:cs="隶书"/>
          <w:sz w:val="30"/>
          <w:szCs w:val="30"/>
        </w:rPr>
        <w:t xml:space="preserve">  </w:t>
      </w:r>
      <w:r>
        <w:rPr>
          <w:rFonts w:hint="eastAsia" w:ascii="隶书" w:hAnsi="隶书" w:eastAsia="隶书" w:cs="隶书"/>
          <w:sz w:val="30"/>
          <w:szCs w:val="30"/>
        </w:rPr>
        <w:t>品</w:t>
      </w:r>
      <w:r>
        <w:rPr>
          <w:rFonts w:ascii="隶书" w:hAnsi="隶书" w:eastAsia="隶书" w:cs="隶书"/>
          <w:sz w:val="30"/>
          <w:szCs w:val="30"/>
        </w:rPr>
        <w:t xml:space="preserve">  </w:t>
      </w:r>
      <w:r>
        <w:rPr>
          <w:rFonts w:hint="eastAsia" w:ascii="隶书" w:hAnsi="隶书" w:eastAsia="隶书" w:cs="隶书"/>
          <w:sz w:val="30"/>
          <w:szCs w:val="30"/>
        </w:rPr>
        <w:t>说</w:t>
      </w:r>
      <w:r>
        <w:rPr>
          <w:rFonts w:ascii="隶书" w:hAnsi="隶书" w:eastAsia="隶书" w:cs="隶书"/>
          <w:sz w:val="30"/>
          <w:szCs w:val="30"/>
        </w:rPr>
        <w:t xml:space="preserve">  </w:t>
      </w:r>
      <w:r>
        <w:rPr>
          <w:rFonts w:hint="eastAsia" w:ascii="隶书" w:hAnsi="隶书" w:eastAsia="隶书" w:cs="隶书"/>
          <w:sz w:val="30"/>
          <w:szCs w:val="30"/>
        </w:rPr>
        <w:t>明</w:t>
      </w:r>
      <w:r>
        <w:rPr>
          <w:rFonts w:ascii="隶书" w:hAnsi="隶书" w:eastAsia="隶书" w:cs="隶书"/>
          <w:sz w:val="30"/>
          <w:szCs w:val="30"/>
        </w:rPr>
        <w:t xml:space="preserve">  </w:t>
      </w:r>
      <w:r>
        <w:rPr>
          <w:rFonts w:hint="eastAsia" w:ascii="隶书" w:hAnsi="隶书" w:eastAsia="隶书" w:cs="隶书"/>
          <w:sz w:val="30"/>
          <w:szCs w:val="30"/>
        </w:rPr>
        <w:t>书</w:t>
      </w:r>
    </w:p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无线压力变送器</w:t>
      </w:r>
    </w:p>
    <w:p>
      <w:pPr>
        <w:jc w:val="center"/>
        <w:rPr>
          <w:rFonts w:hint="eastAsia" w:eastAsia="宋体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（</w:t>
      </w:r>
      <w:r>
        <w:rPr>
          <w:rFonts w:hint="eastAsia"/>
          <w:sz w:val="48"/>
          <w:szCs w:val="48"/>
          <w:lang w:val="en-US" w:eastAsia="zh-CN"/>
        </w:rPr>
        <w:t>A11协议</w:t>
      </w:r>
      <w:r>
        <w:rPr>
          <w:rFonts w:hint="eastAsia"/>
          <w:sz w:val="48"/>
          <w:szCs w:val="48"/>
          <w:lang w:eastAsia="zh-CN"/>
        </w:rPr>
        <w:t>）</w:t>
      </w:r>
    </w:p>
    <w:p>
      <w:pPr>
        <w:rPr>
          <w:rFonts w:hint="eastAsia"/>
        </w:rPr>
      </w:pPr>
    </w:p>
    <w:p>
      <w:pPr/>
    </w:p>
    <w:p>
      <w:pPr>
        <w:jc w:val="center"/>
        <w:rPr>
          <w:rFonts w:ascii="宋体" w:cs="宋体"/>
          <w:sz w:val="24"/>
          <w:szCs w:val="24"/>
        </w:rPr>
      </w:pPr>
    </w:p>
    <w:p>
      <w:pPr>
        <w:rPr>
          <w:rFonts w:ascii="宋体" w:cs="宋体"/>
          <w:sz w:val="24"/>
          <w:szCs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53340</wp:posOffset>
            </wp:positionV>
            <wp:extent cx="2042160" cy="2251075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816" t="3101" r="6776" b="6718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25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宋体" w:cs="宋体"/>
          <w:sz w:val="24"/>
          <w:szCs w:val="24"/>
        </w:rPr>
      </w:pPr>
    </w:p>
    <w:p>
      <w:pPr>
        <w:rPr>
          <w:rFonts w:ascii="宋体" w:cs="宋体"/>
          <w:sz w:val="24"/>
          <w:szCs w:val="24"/>
        </w:rPr>
      </w:pPr>
    </w:p>
    <w:p>
      <w:pPr>
        <w:rPr>
          <w:rFonts w:ascii="宋体" w:cs="宋体"/>
          <w:sz w:val="24"/>
          <w:szCs w:val="24"/>
        </w:rPr>
      </w:pPr>
    </w:p>
    <w:p>
      <w:pPr>
        <w:rPr>
          <w:rFonts w:ascii="宋体" w:cs="宋体"/>
          <w:sz w:val="24"/>
          <w:szCs w:val="24"/>
        </w:rPr>
      </w:pPr>
    </w:p>
    <w:p>
      <w:pPr>
        <w:rPr>
          <w:rFonts w:ascii="宋体" w:cs="宋体"/>
          <w:sz w:val="24"/>
          <w:szCs w:val="24"/>
        </w:rPr>
      </w:pPr>
    </w:p>
    <w:p>
      <w:pPr>
        <w:rPr>
          <w:rFonts w:ascii="宋体" w:cs="宋体"/>
          <w:sz w:val="24"/>
          <w:szCs w:val="24"/>
        </w:rPr>
      </w:pPr>
    </w:p>
    <w:p>
      <w:pPr>
        <w:rPr>
          <w:rFonts w:ascii="宋体" w:cs="宋体"/>
          <w:sz w:val="24"/>
          <w:szCs w:val="24"/>
        </w:rPr>
      </w:pPr>
    </w:p>
    <w:p>
      <w:pPr>
        <w:rPr>
          <w:rFonts w:ascii="宋体" w:cs="宋体"/>
          <w:sz w:val="24"/>
          <w:szCs w:val="24"/>
        </w:rPr>
      </w:pPr>
    </w:p>
    <w:p>
      <w:pPr>
        <w:rPr>
          <w:rFonts w:ascii="宋体" w:cs="宋体"/>
          <w:sz w:val="24"/>
          <w:szCs w:val="24"/>
        </w:rPr>
      </w:pPr>
    </w:p>
    <w:p>
      <w:pPr>
        <w:rPr>
          <w:rFonts w:ascii="宋体" w:cs="宋体"/>
          <w:sz w:val="24"/>
          <w:szCs w:val="24"/>
        </w:rPr>
      </w:pPr>
    </w:p>
    <w:p>
      <w:pPr>
        <w:rPr>
          <w:rFonts w:ascii="宋体" w:cs="宋体"/>
          <w:sz w:val="24"/>
          <w:szCs w:val="24"/>
        </w:rPr>
      </w:pPr>
    </w:p>
    <w:p>
      <w:pPr>
        <w:rPr>
          <w:rFonts w:ascii="宋体" w:cs="宋体"/>
          <w:sz w:val="24"/>
          <w:szCs w:val="24"/>
        </w:rPr>
      </w:pPr>
    </w:p>
    <w:p>
      <w:pPr>
        <w:rPr>
          <w:rFonts w:asci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概述：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本无线压力变送器属于油水井无线监控系统的配套产品，适用于石油油水井生产、储运工艺过程的压力和温度监测。采用微功耗无线通讯模式，不需要接线，安装更为快捷、安全方便，另有配套无线转接设备，可将诸多无线压力信号转换为</w:t>
      </w:r>
      <w:r>
        <w:rPr>
          <w:szCs w:val="21"/>
        </w:rPr>
        <w:t>MODBUS</w:t>
      </w:r>
      <w:r>
        <w:rPr>
          <w:rFonts w:hint="eastAsia"/>
          <w:szCs w:val="21"/>
          <w:lang w:val="en-US" w:eastAsia="zh-CN"/>
        </w:rPr>
        <w:t>或者以太网</w:t>
      </w:r>
      <w:r>
        <w:rPr>
          <w:rFonts w:hint="eastAsia"/>
          <w:szCs w:val="21"/>
        </w:rPr>
        <w:t>标准信号通过以太网或串行传输，能够方便的接入测控系统，有着广泛的应用层面。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一、产品特点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管道压力无线测试，典型应用于油田井口压力监测；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防爆设计：隔爆铝壳，电路板系统本质安全；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防护等级：</w:t>
      </w:r>
      <w:r>
        <w:rPr>
          <w:szCs w:val="21"/>
        </w:rPr>
        <w:t>IP66</w:t>
      </w:r>
      <w:r>
        <w:rPr>
          <w:rFonts w:hint="eastAsia"/>
          <w:szCs w:val="21"/>
        </w:rPr>
        <w:t>，全密封防水设计；</w:t>
      </w:r>
    </w:p>
    <w:p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>ZigBee</w:t>
      </w:r>
      <w:r>
        <w:rPr>
          <w:rFonts w:hint="eastAsia"/>
          <w:szCs w:val="21"/>
        </w:rPr>
        <w:t>通讯，可用手抄器对其配置、测试；</w:t>
      </w:r>
    </w:p>
    <w:p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>LCD</w:t>
      </w:r>
      <w:r>
        <w:rPr>
          <w:rFonts w:hint="eastAsia"/>
          <w:szCs w:val="21"/>
        </w:rPr>
        <w:t>显示：</w:t>
      </w:r>
      <w:r>
        <w:rPr>
          <w:szCs w:val="21"/>
        </w:rPr>
        <w:t>-</w:t>
      </w:r>
      <w:r>
        <w:rPr>
          <w:rFonts w:hint="eastAsia"/>
          <w:szCs w:val="21"/>
          <w:lang w:val="en-US" w:eastAsia="zh-CN"/>
        </w:rPr>
        <w:t>3</w:t>
      </w:r>
      <w:bookmarkStart w:id="0" w:name="_GoBack"/>
      <w:bookmarkEnd w:id="0"/>
      <w:r>
        <w:rPr>
          <w:szCs w:val="21"/>
        </w:rPr>
        <w:t>0~75</w:t>
      </w:r>
      <w:r>
        <w:rPr>
          <w:rFonts w:hint="eastAsia"/>
          <w:szCs w:val="21"/>
        </w:rPr>
        <w:t>℃宽温度工作范围，可显示压力数据、电池电压、无线信道等多种信息；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安装方向可调：通过活接或转接头接入现场管道阀门，可调节方向；</w:t>
      </w:r>
    </w:p>
    <w:p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>38Ah</w:t>
      </w:r>
      <w:r>
        <w:rPr>
          <w:rFonts w:hint="eastAsia"/>
          <w:szCs w:val="21"/>
        </w:rPr>
        <w:t>高能量锂电池，超长工作寿命；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高增益天线，无线传输距离达90</w:t>
      </w:r>
      <w:r>
        <w:rPr>
          <w:szCs w:val="21"/>
        </w:rPr>
        <w:t>m</w:t>
      </w:r>
      <w:r>
        <w:rPr>
          <w:rFonts w:hint="eastAsia"/>
          <w:szCs w:val="21"/>
        </w:rPr>
        <w:t>以上；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定制护线套，防止线缆接头断裂；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二、技术指标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、被测介质：液体、气体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、压力量程：</w:t>
      </w:r>
      <w:r>
        <w:rPr>
          <w:szCs w:val="21"/>
        </w:rPr>
        <w:t xml:space="preserve">0~60MPa </w:t>
      </w:r>
      <w:r>
        <w:rPr>
          <w:rFonts w:hint="eastAsia"/>
          <w:szCs w:val="21"/>
        </w:rPr>
        <w:t>可定制</w:t>
      </w:r>
    </w:p>
    <w:p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、精度：</w:t>
      </w:r>
      <w:r>
        <w:rPr>
          <w:szCs w:val="21"/>
        </w:rPr>
        <w:t>0.5</w:t>
      </w:r>
      <w:r>
        <w:rPr>
          <w:rFonts w:hint="eastAsia"/>
          <w:szCs w:val="21"/>
        </w:rPr>
        <w:t>级</w:t>
      </w:r>
    </w:p>
    <w:p>
      <w:pPr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、过载压力：</w:t>
      </w:r>
      <w:r>
        <w:rPr>
          <w:szCs w:val="21"/>
        </w:rPr>
        <w:t>150% F.S</w:t>
      </w:r>
    </w:p>
    <w:p>
      <w:pPr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、上报周期：</w:t>
      </w:r>
      <w:r>
        <w:rPr>
          <w:szCs w:val="21"/>
        </w:rPr>
        <w:t>1~</w:t>
      </w:r>
      <w:r>
        <w:rPr>
          <w:rFonts w:hint="eastAsia"/>
          <w:szCs w:val="21"/>
        </w:rPr>
        <w:t>1800秒可设定</w:t>
      </w: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小数位数：</w:t>
      </w:r>
      <w:r>
        <w:rPr>
          <w:szCs w:val="21"/>
        </w:rPr>
        <w:t>0~</w:t>
      </w:r>
      <w:r>
        <w:rPr>
          <w:rFonts w:hint="eastAsia"/>
          <w:szCs w:val="21"/>
        </w:rPr>
        <w:t>4位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可设定</w:t>
      </w: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信号传输：</w:t>
      </w:r>
      <w:r>
        <w:rPr>
          <w:szCs w:val="21"/>
        </w:rPr>
        <w:t>ZigBee</w:t>
      </w:r>
      <w:r>
        <w:rPr>
          <w:rFonts w:hint="eastAsia"/>
          <w:szCs w:val="21"/>
        </w:rPr>
        <w:t>无线（</w:t>
      </w:r>
      <w:r>
        <w:rPr>
          <w:szCs w:val="21"/>
        </w:rPr>
        <w:t>2.4</w:t>
      </w:r>
      <w:r>
        <w:rPr>
          <w:rFonts w:hint="eastAsia"/>
          <w:szCs w:val="21"/>
        </w:rPr>
        <w:t>G）</w:t>
      </w:r>
      <w:r>
        <w:rPr>
          <w:rFonts w:hint="eastAsia"/>
          <w:szCs w:val="21"/>
          <w:lang w:val="en-US" w:eastAsia="zh-CN"/>
        </w:rPr>
        <w:t>A11协议</w:t>
      </w: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待机功耗：≤20uA</w:t>
      </w: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通讯距离：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90</w:t>
      </w:r>
      <w:r>
        <w:rPr>
          <w:szCs w:val="21"/>
        </w:rPr>
        <w:t>m</w:t>
      </w:r>
    </w:p>
    <w:p>
      <w:pPr>
        <w:rPr>
          <w:szCs w:val="21"/>
        </w:rPr>
      </w:pPr>
      <w:r>
        <w:rPr>
          <w:szCs w:val="21"/>
        </w:rPr>
        <w:t>10</w:t>
      </w:r>
      <w:r>
        <w:rPr>
          <w:rFonts w:hint="eastAsia"/>
          <w:szCs w:val="21"/>
        </w:rPr>
        <w:t>、工作电源：</w:t>
      </w:r>
      <w:r>
        <w:rPr>
          <w:szCs w:val="21"/>
        </w:rPr>
        <w:t xml:space="preserve">3.6V </w:t>
      </w:r>
      <w:r>
        <w:rPr>
          <w:rFonts w:hint="eastAsia"/>
          <w:szCs w:val="21"/>
        </w:rPr>
        <w:t>锂电池</w:t>
      </w:r>
    </w:p>
    <w:p>
      <w:pPr>
        <w:rPr>
          <w:szCs w:val="21"/>
        </w:rPr>
      </w:pPr>
      <w:r>
        <w:rPr>
          <w:szCs w:val="21"/>
        </w:rPr>
        <w:t>11</w:t>
      </w:r>
      <w:r>
        <w:rPr>
          <w:rFonts w:hint="eastAsia"/>
          <w:szCs w:val="21"/>
        </w:rPr>
        <w:t>、防爆等级：</w:t>
      </w:r>
    </w:p>
    <w:p>
      <w:pPr>
        <w:rPr>
          <w:szCs w:val="21"/>
        </w:rPr>
      </w:pPr>
      <w:r>
        <w:rPr>
          <w:szCs w:val="21"/>
        </w:rPr>
        <w:t>12</w:t>
      </w:r>
      <w:r>
        <w:rPr>
          <w:rFonts w:hint="eastAsia"/>
          <w:szCs w:val="21"/>
        </w:rPr>
        <w:t>、外壳防护：</w:t>
      </w:r>
      <w:r>
        <w:rPr>
          <w:szCs w:val="21"/>
        </w:rPr>
        <w:t>IP6</w:t>
      </w:r>
      <w:r>
        <w:rPr>
          <w:rFonts w:hint="eastAsia"/>
          <w:szCs w:val="21"/>
          <w:lang w:val="en-US" w:eastAsia="zh-CN"/>
        </w:rPr>
        <w:t>5</w:t>
      </w:r>
    </w:p>
    <w:p>
      <w:pPr>
        <w:rPr>
          <w:szCs w:val="21"/>
        </w:rPr>
      </w:pPr>
      <w:r>
        <w:rPr>
          <w:szCs w:val="21"/>
        </w:rPr>
        <w:t>13</w:t>
      </w:r>
      <w:r>
        <w:rPr>
          <w:rFonts w:hint="eastAsia"/>
          <w:szCs w:val="21"/>
        </w:rPr>
        <w:t>、过程接口：客户定制</w:t>
      </w:r>
    </w:p>
    <w:p>
      <w:pPr>
        <w:rPr>
          <w:szCs w:val="21"/>
        </w:rPr>
      </w:pPr>
      <w:r>
        <w:rPr>
          <w:szCs w:val="21"/>
        </w:rPr>
        <w:t>14</w:t>
      </w:r>
      <w:r>
        <w:rPr>
          <w:rFonts w:hint="eastAsia"/>
          <w:szCs w:val="21"/>
        </w:rPr>
        <w:t>、工作环境温度：</w:t>
      </w:r>
      <w:r>
        <w:rPr>
          <w:szCs w:val="21"/>
        </w:rPr>
        <w:t>-40~75</w:t>
      </w:r>
      <w:r>
        <w:rPr>
          <w:rFonts w:hint="eastAsia"/>
          <w:szCs w:val="21"/>
        </w:rPr>
        <w:t>℃</w:t>
      </w:r>
    </w:p>
    <w:p>
      <w:pPr>
        <w:rPr>
          <w:szCs w:val="21"/>
        </w:rPr>
      </w:pPr>
      <w:r>
        <w:rPr>
          <w:szCs w:val="21"/>
        </w:rPr>
        <w:t>15</w:t>
      </w:r>
      <w:r>
        <w:rPr>
          <w:rFonts w:hint="eastAsia"/>
          <w:szCs w:val="21"/>
        </w:rPr>
        <w:t>、工作环境湿度：≤</w:t>
      </w:r>
      <w:r>
        <w:rPr>
          <w:szCs w:val="21"/>
        </w:rPr>
        <w:t>97% RH</w:t>
      </w:r>
    </w:p>
    <w:p>
      <w:pPr>
        <w:rPr>
          <w:szCs w:val="21"/>
        </w:rPr>
      </w:pPr>
      <w:r>
        <w:rPr>
          <w:szCs w:val="21"/>
        </w:rPr>
        <w:t>16</w:t>
      </w:r>
      <w:r>
        <w:rPr>
          <w:rFonts w:hint="eastAsia"/>
          <w:szCs w:val="21"/>
        </w:rPr>
        <w:t>、产品重量：</w:t>
      </w:r>
      <w:r>
        <w:rPr>
          <w:szCs w:val="21"/>
        </w:rPr>
        <w:t>2000</w:t>
      </w:r>
      <w:r>
        <w:rPr>
          <w:rFonts w:hint="eastAsia"/>
          <w:szCs w:val="21"/>
        </w:rPr>
        <w:t>g</w:t>
      </w:r>
    </w:p>
    <w:p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外型结构</w:t>
      </w:r>
    </w:p>
    <w:p>
      <w:pPr>
        <w:rPr>
          <w:szCs w:val="21"/>
        </w:rPr>
      </w:pPr>
      <w:r>
        <w:rPr>
          <w:szCs w:val="21"/>
        </w:rPr>
        <w:drawing>
          <wp:inline distT="0" distB="0" distL="0" distR="0">
            <wp:extent cx="3348990" cy="1956435"/>
            <wp:effectExtent l="19050" t="0" r="3810" b="0"/>
            <wp:docPr id="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四、显示说明</w:t>
      </w:r>
    </w:p>
    <w:p>
      <w:pPr>
        <w:rPr>
          <w:szCs w:val="21"/>
        </w:rPr>
      </w:pPr>
      <w:r>
        <w:rPr>
          <w:rFonts w:hint="eastAsia"/>
          <w:szCs w:val="21"/>
        </w:rPr>
        <w:t>无线一体压力变送器显示面板如图二：</w:t>
      </w:r>
    </w:p>
    <w:p>
      <w:pPr>
        <w:jc w:val="center"/>
      </w:pPr>
      <w:r>
        <w:drawing>
          <wp:inline distT="0" distB="0" distL="114300" distR="114300">
            <wp:extent cx="3348355" cy="1613535"/>
            <wp:effectExtent l="0" t="0" r="4445" b="571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jc w:val="both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面板显示部分按照字面意思理解即可。</w:t>
      </w:r>
    </w:p>
    <w:p>
      <w:pPr>
        <w:rPr>
          <w:szCs w:val="21"/>
        </w:rPr>
      </w:pPr>
      <w:r>
        <w:rPr>
          <w:rFonts w:hint="eastAsia"/>
          <w:szCs w:val="21"/>
        </w:rPr>
        <w:t>五、安装方法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、确定工艺要求的测量范围与要安装的变送器量程一致。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、工艺安装的接头螺纹规格必须与变送器配套。</w:t>
      </w:r>
    </w:p>
    <w:p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、管道上安装压力变送器，先将管道上的准备安装压力变送器的阀门（针型阀或闸阀）关闭，然后有</w:t>
      </w:r>
      <w:r>
        <w:rPr>
          <w:szCs w:val="21"/>
        </w:rPr>
        <w:t>2</w:t>
      </w:r>
      <w:r>
        <w:rPr>
          <w:rFonts w:hint="eastAsia"/>
          <w:szCs w:val="21"/>
        </w:rPr>
        <w:t>种安装方式：</w:t>
      </w:r>
      <w:r>
        <w:rPr>
          <w:szCs w:val="21"/>
        </w:rPr>
        <w:t>(1)</w:t>
      </w:r>
      <w:r>
        <w:rPr>
          <w:rFonts w:hint="eastAsia"/>
          <w:szCs w:val="21"/>
        </w:rPr>
        <w:t>将变送器直接旋入阀门的上端口；</w:t>
      </w:r>
      <w:r>
        <w:rPr>
          <w:szCs w:val="21"/>
        </w:rPr>
        <w:t>(2)</w:t>
      </w:r>
      <w:r>
        <w:rPr>
          <w:rFonts w:hint="eastAsia"/>
          <w:szCs w:val="21"/>
        </w:rPr>
        <w:t>将活接或转接头旋入阀门的上端口，再将变送器旋入活接或转接头的上端口，此种安装方式以增加活接或转接头来调节方向。安装完毕，开启针型阀阀门确认无渗漏现象，即安装合格。</w:t>
      </w:r>
    </w:p>
    <w:p>
      <w:pPr>
        <w:rPr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六、参数设置</w:t>
      </w:r>
    </w:p>
    <w:p>
      <w:pPr>
        <w:pStyle w:val="13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通过手操器设置</w:t>
      </w:r>
    </w:p>
    <w:p>
      <w:pPr>
        <w:pStyle w:val="13"/>
        <w:numPr>
          <w:ilvl w:val="0"/>
          <w:numId w:val="0"/>
        </w:numPr>
        <w:spacing w:line="300" w:lineRule="auto"/>
        <w:ind w:left="36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1.1</w:t>
      </w:r>
      <w:r>
        <w:rPr>
          <w:rFonts w:hint="eastAsia"/>
          <w:lang w:eastAsia="zh-CN"/>
        </w:rPr>
        <w:t>将仪表重新上电或将强力磁铁放在仪表正上方保持</w:t>
      </w:r>
      <w:r>
        <w:rPr>
          <w:rFonts w:hint="eastAsia"/>
          <w:lang w:val="en-US" w:eastAsia="zh-CN"/>
        </w:rPr>
        <w:t>5秒以上，仪表即进入连接手操器状态，若搜索不到手操器网络或连接手操器失败则进入连接RTU状态。</w:t>
      </w:r>
    </w:p>
    <w:p>
      <w:pPr>
        <w:pStyle w:val="13"/>
        <w:numPr>
          <w:ilvl w:val="0"/>
          <w:numId w:val="0"/>
        </w:numPr>
        <w:spacing w:line="300" w:lineRule="auto"/>
        <w:ind w:left="36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连接成功手操器以后请按照手操器相关操作执行。</w:t>
      </w:r>
    </w:p>
    <w:p>
      <w:pPr>
        <w:pStyle w:val="13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通过电脑端上位机软件设置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电脑端上位机及操作说明请向我公司索取。</w:t>
      </w:r>
    </w:p>
    <w:p>
      <w:pPr>
        <w:pStyle w:val="13"/>
        <w:numPr>
          <w:ilvl w:val="0"/>
          <w:numId w:val="5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通过面板按键设置</w:t>
      </w:r>
    </w:p>
    <w:p>
      <w:pPr>
        <w:pStyle w:val="13"/>
        <w:numPr>
          <w:ilvl w:val="0"/>
          <w:numId w:val="0"/>
        </w:numPr>
        <w:ind w:leftChars="0" w:firstLine="420" w:firstLineChars="0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227330</wp:posOffset>
            </wp:positionV>
            <wp:extent cx="1439545" cy="928370"/>
            <wp:effectExtent l="0" t="0" r="8255" b="5080"/>
            <wp:wrapTight wrapText="bothSides">
              <wp:wrapPolygon>
                <wp:start x="0" y="0"/>
                <wp:lineTo x="0" y="21275"/>
                <wp:lineTo x="21438" y="21275"/>
                <wp:lineTo x="21438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  <w:lang w:val="en-US" w:eastAsia="zh-CN"/>
        </w:rPr>
        <w:t>3.1，设置工作状态:</w:t>
      </w:r>
      <w:r>
        <w:rPr>
          <w:rFonts w:hint="eastAsia"/>
          <w:lang w:eastAsia="zh-CN"/>
        </w:rPr>
        <w:t>背光设置</w:t>
      </w:r>
    </w:p>
    <w:p>
      <w:pPr>
        <w:ind w:firstLine="420" w:firstLineChars="0"/>
        <w:jc w:val="left"/>
      </w:pPr>
      <w:r>
        <w:rPr>
          <w:rFonts w:hint="eastAsia"/>
          <w:lang w:val="en-US" w:eastAsia="zh-CN"/>
        </w:rPr>
        <w:t>①在普通测量模式，长按任意键，进入输入密码状态，屏幕显示：</w:t>
      </w:r>
    </w:p>
    <w:p>
      <w:pPr>
        <w:pStyle w:val="13"/>
        <w:numPr>
          <w:ilvl w:val="0"/>
          <w:numId w:val="0"/>
        </w:numPr>
        <w:ind w:leftChars="0" w:firstLine="42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空白表示闪烁，即光标位置，下同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②按</w:t>
      </w:r>
      <w:r>
        <w:rPr>
          <w:rFonts w:hint="eastAsia"/>
          <w:lang w:val="en-US" w:eastAsia="zh-CN"/>
        </w:rPr>
        <w:t>S1键移动光标，按S2更改光标位的值，输入密码00001，按ZERO键确定，进入背光设置状态;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③仪表显示如下，按</w:t>
      </w:r>
      <w:r>
        <w:rPr>
          <w:rFonts w:hint="eastAsia"/>
          <w:lang w:val="en-US" w:eastAsia="zh-CN"/>
        </w:rPr>
        <w:t>S1或S2可循环切换：</w:t>
      </w:r>
    </w:p>
    <w:tbl>
      <w:tblPr>
        <w:tblStyle w:val="8"/>
        <w:tblW w:w="5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241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410970" cy="906145"/>
                  <wp:effectExtent l="0" t="0" r="17780" b="8255"/>
                  <wp:docPr id="2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7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表示背光关闭，按</w:t>
            </w:r>
            <w:r>
              <w:rPr>
                <w:rFonts w:hint="eastAsia"/>
                <w:lang w:val="en-US" w:eastAsia="zh-CN"/>
              </w:rPr>
              <w:t>ZERO键退出并保存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241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428115" cy="925195"/>
                  <wp:effectExtent l="0" t="0" r="635" b="8255"/>
                  <wp:docPr id="2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11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表示背光时间为</w:t>
            </w:r>
            <w:r>
              <w:rPr>
                <w:rFonts w:hint="eastAsia"/>
                <w:lang w:val="en-US" w:eastAsia="zh-CN"/>
              </w:rPr>
              <w:t>15S</w:t>
            </w:r>
            <w:r>
              <w:rPr>
                <w:rFonts w:hint="eastAsia"/>
                <w:lang w:eastAsia="zh-CN"/>
              </w:rPr>
              <w:t>，按</w:t>
            </w:r>
            <w:r>
              <w:rPr>
                <w:rFonts w:hint="eastAsia"/>
                <w:lang w:val="en-US" w:eastAsia="zh-CN"/>
              </w:rPr>
              <w:t>ZERO键退出并保存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418" w:type="dxa"/>
            <w:vAlign w:val="center"/>
          </w:tcPr>
          <w:p>
            <w:pPr>
              <w:jc w:val="both"/>
            </w:pPr>
            <w:r>
              <w:drawing>
                <wp:inline distT="0" distB="0" distL="114300" distR="114300">
                  <wp:extent cx="1410335" cy="912495"/>
                  <wp:effectExtent l="0" t="0" r="18415" b="1905"/>
                  <wp:docPr id="2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35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表示背光时间为</w:t>
            </w:r>
            <w:r>
              <w:rPr>
                <w:rFonts w:hint="eastAsia"/>
                <w:lang w:val="en-US" w:eastAsia="zh-CN"/>
              </w:rPr>
              <w:t>30S</w:t>
            </w:r>
            <w:r>
              <w:rPr>
                <w:rFonts w:hint="eastAsia"/>
                <w:lang w:eastAsia="zh-CN"/>
              </w:rPr>
              <w:t>，按</w:t>
            </w:r>
            <w:r>
              <w:rPr>
                <w:rFonts w:hint="eastAsia"/>
                <w:lang w:val="en-US" w:eastAsia="zh-CN"/>
              </w:rPr>
              <w:t>ZERO键退出并保存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41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396365" cy="908050"/>
                  <wp:effectExtent l="0" t="0" r="13335" b="6350"/>
                  <wp:docPr id="2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表示背光时间为</w:t>
            </w:r>
            <w:r>
              <w:rPr>
                <w:rFonts w:hint="eastAsia"/>
                <w:lang w:val="en-US" w:eastAsia="zh-CN"/>
              </w:rPr>
              <w:t>60S</w:t>
            </w:r>
            <w:r>
              <w:rPr>
                <w:rFonts w:hint="eastAsia"/>
                <w:lang w:eastAsia="zh-CN"/>
              </w:rPr>
              <w:t>，按</w:t>
            </w:r>
            <w:r>
              <w:rPr>
                <w:rFonts w:hint="eastAsia"/>
                <w:lang w:val="en-US" w:eastAsia="zh-CN"/>
              </w:rPr>
              <w:t>ZERO键退出并保存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41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382395" cy="908050"/>
                  <wp:effectExtent l="0" t="0" r="8255" b="6350"/>
                  <wp:docPr id="2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9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表示背光常亮，按</w:t>
            </w:r>
            <w:r>
              <w:rPr>
                <w:rFonts w:hint="eastAsia"/>
                <w:lang w:val="en-US" w:eastAsia="zh-CN"/>
              </w:rPr>
              <w:t>ZERO键退出并保存</w:t>
            </w:r>
          </w:p>
        </w:tc>
      </w:tr>
    </w:tbl>
    <w:p>
      <w:pPr>
        <w:pStyle w:val="13"/>
        <w:numPr>
          <w:ilvl w:val="0"/>
          <w:numId w:val="0"/>
        </w:numPr>
        <w:ind w:leftChars="0" w:firstLine="420" w:firstLineChars="0"/>
        <w:rPr>
          <w:rFonts w:hint="eastAsia"/>
          <w:lang w:eastAsia="zh-CN"/>
        </w:rPr>
      </w:pPr>
    </w:p>
    <w:p>
      <w:pPr>
        <w:pStyle w:val="13"/>
        <w:numPr>
          <w:ilvl w:val="0"/>
          <w:numId w:val="0"/>
        </w:numPr>
        <w:ind w:leftChars="0" w:firstLine="420" w:firstLineChars="0"/>
        <w:rPr>
          <w:rFonts w:hint="eastAsia"/>
          <w:szCs w:val="21"/>
          <w:lang w:val="en-US" w:eastAsia="zh-CN"/>
        </w:rPr>
      </w:pPr>
      <w:r>
        <w:rPr>
          <w:rFonts w:hint="eastAsia"/>
          <w:lang w:val="en-US" w:eastAsia="zh-CN"/>
        </w:rPr>
        <w:t>注：无按键按下60秒，仪表自动退出设置模式。</w:t>
      </w:r>
    </w:p>
    <w:p>
      <w:pPr>
        <w:pStyle w:val="13"/>
        <w:numPr>
          <w:ilvl w:val="0"/>
          <w:numId w:val="0"/>
        </w:numPr>
        <w:ind w:leftChars="200"/>
        <w:rPr>
          <w:rFonts w:hint="eastAsia"/>
        </w:rPr>
      </w:pPr>
      <w:r>
        <w:rPr>
          <w:rFonts w:hint="eastAsia"/>
          <w:lang w:val="en-US" w:eastAsia="zh-CN"/>
        </w:rPr>
        <w:t>3.2</w:t>
      </w:r>
      <w:r>
        <w:rPr>
          <w:rFonts w:hint="eastAsia"/>
          <w:lang w:eastAsia="zh-CN"/>
        </w:rPr>
        <w:t>通信参数</w:t>
      </w:r>
      <w:r>
        <w:rPr>
          <w:rFonts w:hint="eastAsia"/>
        </w:rPr>
        <w:t>设置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①在普通测量模式，长按</w:t>
      </w:r>
      <w:r>
        <w:rPr>
          <w:rFonts w:hint="eastAsia"/>
          <w:lang w:val="en-US" w:eastAsia="zh-CN"/>
        </w:rPr>
        <w:t>任意键，进入输入密码状态，屏幕显示：</w:t>
      </w:r>
    </w:p>
    <w:p>
      <w:pPr>
        <w:ind w:firstLine="420" w:firstLineChars="0"/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1835150" cy="1184910"/>
            <wp:effectExtent l="0" t="0" r="12700" b="152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</w:t>
      </w:r>
      <w:r>
        <w:rPr>
          <w:rFonts w:hint="eastAsia"/>
          <w:lang w:eastAsia="zh-CN"/>
        </w:rPr>
        <w:t>按</w:t>
      </w:r>
      <w:r>
        <w:rPr>
          <w:rFonts w:hint="eastAsia"/>
          <w:lang w:val="en-US" w:eastAsia="zh-CN"/>
        </w:rPr>
        <w:t>S1键移动光标，按S2更改光标位的值，输入密码00066，按ZERO键确定，进入</w:t>
      </w:r>
      <w:r>
        <w:rPr>
          <w:rFonts w:hint="eastAsia"/>
          <w:lang w:eastAsia="zh-CN"/>
        </w:rPr>
        <w:t>通信参数</w:t>
      </w:r>
      <w:r>
        <w:rPr>
          <w:rFonts w:hint="eastAsia"/>
        </w:rPr>
        <w:t>设置</w:t>
      </w:r>
      <w:r>
        <w:rPr>
          <w:rFonts w:hint="eastAsia"/>
          <w:lang w:val="en-US" w:eastAsia="zh-CN"/>
        </w:rPr>
        <w:t>模式；</w:t>
      </w:r>
    </w:p>
    <w:p>
      <w:pPr>
        <w:pStyle w:val="13"/>
        <w:numPr>
          <w:ilvl w:val="0"/>
          <w:numId w:val="0"/>
        </w:numPr>
        <w:ind w:leftChars="0" w:firstLine="420" w:firstLineChars="0"/>
        <w:jc w:val="left"/>
      </w:pPr>
      <w:r>
        <w:rPr>
          <w:rFonts w:hint="eastAsia"/>
          <w:lang w:val="en-US" w:eastAsia="zh-CN"/>
        </w:rPr>
        <w:t>③</w:t>
      </w:r>
      <w:r>
        <w:rPr>
          <w:rFonts w:hint="eastAsia"/>
          <w:lang w:eastAsia="zh-CN"/>
        </w:rPr>
        <w:t>仪表显示如下，按</w:t>
      </w:r>
      <w:r>
        <w:rPr>
          <w:rFonts w:hint="eastAsia"/>
          <w:lang w:val="en-US" w:eastAsia="zh-CN"/>
        </w:rPr>
        <w:t>S1可循环切换：</w:t>
      </w:r>
    </w:p>
    <w:tbl>
      <w:tblPr>
        <w:tblStyle w:val="8"/>
        <w:tblW w:w="5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2231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jc w:val="both"/>
              <w:rPr>
                <w:vertAlign w:val="baseline"/>
              </w:rPr>
            </w:pPr>
            <w:r>
              <w:drawing>
                <wp:inline distT="0" distB="0" distL="114300" distR="114300">
                  <wp:extent cx="1359535" cy="892175"/>
                  <wp:effectExtent l="0" t="0" r="12065" b="3175"/>
                  <wp:docPr id="3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lang w:eastAsia="zh-CN"/>
              </w:rPr>
              <w:t>表示组号设置，按</w:t>
            </w:r>
            <w:r>
              <w:rPr>
                <w:rFonts w:hint="eastAsia"/>
                <w:lang w:val="en-US" w:eastAsia="zh-CN"/>
              </w:rPr>
              <w:t>S2更改组号值，按S1进入下一菜单，按ZERO键进入保存菜单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231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jc w:val="both"/>
              <w:rPr>
                <w:vertAlign w:val="baseline"/>
              </w:rPr>
            </w:pPr>
            <w:r>
              <w:drawing>
                <wp:inline distT="0" distB="0" distL="114300" distR="114300">
                  <wp:extent cx="1324610" cy="866775"/>
                  <wp:effectExtent l="0" t="0" r="8890" b="9525"/>
                  <wp:docPr id="3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表示编号设置，按</w:t>
            </w:r>
            <w:r>
              <w:rPr>
                <w:rFonts w:hint="eastAsia"/>
                <w:lang w:val="en-US" w:eastAsia="zh-CN"/>
              </w:rPr>
              <w:t>S2更改编号值，按S1进入下一菜单，按ZERO键进入保存菜单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231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jc w:val="both"/>
              <w:rPr>
                <w:vertAlign w:val="baseline"/>
              </w:rPr>
            </w:pPr>
            <w:r>
              <w:drawing>
                <wp:inline distT="0" distB="0" distL="114300" distR="114300">
                  <wp:extent cx="1320165" cy="861695"/>
                  <wp:effectExtent l="0" t="0" r="13335" b="14605"/>
                  <wp:docPr id="3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jc w:val="both"/>
              <w:rPr>
                <w:vertAlign w:val="baseline"/>
                <w:lang w:val="en-US"/>
              </w:rPr>
            </w:pPr>
            <w:r>
              <w:rPr>
                <w:rFonts w:hint="eastAsia"/>
                <w:lang w:eastAsia="zh-CN"/>
              </w:rPr>
              <w:t>表示信道号设置，按</w:t>
            </w:r>
            <w:r>
              <w:rPr>
                <w:rFonts w:hint="eastAsia"/>
                <w:lang w:val="en-US" w:eastAsia="zh-CN"/>
              </w:rPr>
              <w:t>S2更改信道号值，按S1进入下一菜单，按ZERO键进入保存菜单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2231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jc w:val="both"/>
              <w:rPr>
                <w:vertAlign w:val="baseline"/>
              </w:rPr>
            </w:pPr>
            <w:r>
              <w:drawing>
                <wp:inline distT="0" distB="0" distL="114300" distR="114300">
                  <wp:extent cx="1322705" cy="865505"/>
                  <wp:effectExtent l="0" t="0" r="10795" b="10795"/>
                  <wp:docPr id="36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7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表示网络号设置</w:t>
            </w:r>
            <w:r>
              <w:rPr>
                <w:rFonts w:hint="eastAsia"/>
                <w:lang w:val="en-US" w:eastAsia="zh-CN"/>
              </w:rPr>
              <w:t>，按S1移动光标，按S2更改光标位的值，按ZERO键进入保存菜单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2231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jc w:val="both"/>
            </w:pPr>
            <w:r>
              <w:drawing>
                <wp:inline distT="0" distB="0" distL="114300" distR="114300">
                  <wp:extent cx="1325245" cy="867410"/>
                  <wp:effectExtent l="0" t="0" r="8255" b="8890"/>
                  <wp:docPr id="37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jc w:val="both"/>
            </w:pPr>
            <w:r>
              <w:rPr>
                <w:rFonts w:hint="eastAsia"/>
                <w:lang w:eastAsia="zh-CN"/>
              </w:rPr>
              <w:t>保存菜单，表示确定保存</w:t>
            </w:r>
            <w:r>
              <w:rPr>
                <w:rFonts w:hint="eastAsia"/>
                <w:lang w:val="en-US" w:eastAsia="zh-CN"/>
              </w:rPr>
              <w:t>，按S1或S2在YES和NO之间切换，</w:t>
            </w:r>
            <w:r>
              <w:rPr>
                <w:rFonts w:hint="eastAsia"/>
                <w:lang w:eastAsia="zh-CN"/>
              </w:rPr>
              <w:t>按</w:t>
            </w:r>
            <w:r>
              <w:rPr>
                <w:rFonts w:hint="eastAsia"/>
                <w:lang w:val="en-US" w:eastAsia="zh-CN"/>
              </w:rPr>
              <w:t>ZERO键保存并退出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2231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jc w:val="both"/>
              <w:rPr>
                <w:vertAlign w:val="baseline"/>
              </w:rPr>
            </w:pPr>
            <w:r>
              <w:drawing>
                <wp:inline distT="0" distB="0" distL="114300" distR="114300">
                  <wp:extent cx="1340485" cy="875665"/>
                  <wp:effectExtent l="0" t="0" r="12065" b="635"/>
                  <wp:docPr id="3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48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保存菜单，表示不保存</w:t>
            </w:r>
            <w:r>
              <w:rPr>
                <w:rFonts w:hint="eastAsia"/>
                <w:lang w:val="en-US" w:eastAsia="zh-CN"/>
              </w:rPr>
              <w:t>，按S1或S2在YES和NO之间切换，</w:t>
            </w:r>
            <w:r>
              <w:rPr>
                <w:rFonts w:hint="eastAsia"/>
                <w:lang w:eastAsia="zh-CN"/>
              </w:rPr>
              <w:t>按</w:t>
            </w:r>
            <w:r>
              <w:rPr>
                <w:rFonts w:hint="eastAsia"/>
                <w:lang w:val="en-US" w:eastAsia="zh-CN"/>
              </w:rPr>
              <w:t>ZERO键不保存并退出</w:t>
            </w:r>
          </w:p>
        </w:tc>
      </w:tr>
    </w:tbl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注：无按键按下60秒，仪表自动退出</w:t>
      </w:r>
      <w:r>
        <w:rPr>
          <w:rFonts w:hint="eastAsia"/>
          <w:lang w:eastAsia="zh-CN"/>
        </w:rPr>
        <w:t>通信参数</w:t>
      </w:r>
      <w:r>
        <w:rPr>
          <w:rFonts w:hint="eastAsia"/>
        </w:rPr>
        <w:t>设置</w:t>
      </w:r>
      <w:r>
        <w:rPr>
          <w:rFonts w:hint="eastAsia"/>
          <w:lang w:val="en-US" w:eastAsia="zh-CN"/>
        </w:rPr>
        <w:t>模式。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</w:p>
    <w:p>
      <w:pPr>
        <w:rPr>
          <w:szCs w:val="21"/>
        </w:rPr>
      </w:pPr>
      <w:r>
        <w:rPr>
          <w:rFonts w:hint="eastAsia"/>
          <w:szCs w:val="21"/>
        </w:rPr>
        <w:t>七、常见故障处理</w:t>
      </w:r>
    </w:p>
    <w:p>
      <w:pPr>
        <w:rPr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仪表不能正常工作时，用户可参考下表进行简单的检修，若故障不能排除，请与生产厂家联系。</w:t>
      </w:r>
    </w:p>
    <w:tbl>
      <w:tblPr>
        <w:tblStyle w:val="7"/>
        <w:tblW w:w="463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095"/>
        <w:gridCol w:w="2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8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现象</w:t>
            </w:r>
          </w:p>
        </w:tc>
        <w:tc>
          <w:tcPr>
            <w:tcW w:w="10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原因分析</w:t>
            </w:r>
          </w:p>
        </w:tc>
        <w:tc>
          <w:tcPr>
            <w:tcW w:w="22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8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仪表无显示</w:t>
            </w:r>
          </w:p>
        </w:tc>
        <w:tc>
          <w:tcPr>
            <w:tcW w:w="109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电池没电</w:t>
            </w:r>
          </w:p>
        </w:tc>
        <w:tc>
          <w:tcPr>
            <w:tcW w:w="225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更换新电池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8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上位机收不到数据</w:t>
            </w:r>
          </w:p>
        </w:tc>
        <w:tc>
          <w:tcPr>
            <w:tcW w:w="10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无线参数不一致</w:t>
            </w:r>
          </w:p>
        </w:tc>
        <w:tc>
          <w:tcPr>
            <w:tcW w:w="225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设置仪表的无线信道和</w:t>
            </w:r>
            <w:r>
              <w:rPr>
                <w:szCs w:val="21"/>
              </w:rPr>
              <w:t>ID</w:t>
            </w:r>
            <w:r>
              <w:rPr>
                <w:rFonts w:hint="eastAsia"/>
                <w:szCs w:val="21"/>
              </w:rPr>
              <w:t>与上位机一致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8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压力值偏小</w:t>
            </w:r>
          </w:p>
        </w:tc>
        <w:tc>
          <w:tcPr>
            <w:tcW w:w="109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引压孔被堵塞</w:t>
            </w:r>
          </w:p>
        </w:tc>
        <w:tc>
          <w:tcPr>
            <w:tcW w:w="225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将仪表卸下清洗引压孔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八、售后服务</w:t>
      </w:r>
    </w:p>
    <w:p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本产品在用户完全遵守说明规定要求、使用方法正确、无人为损坏的条件下，保修期为一年。</w:t>
      </w:r>
    </w:p>
    <w:p>
      <w:pPr>
        <w:ind w:firstLine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质保免责条款：</w:t>
      </w:r>
    </w:p>
    <w:p>
      <w:pPr>
        <w:ind w:firstLine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8.1，压力传感器无损，莫朴无破损。</w:t>
      </w:r>
    </w:p>
    <w:p>
      <w:pPr>
        <w:ind w:firstLine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8.2传感器无明显认为损坏，戳坏迹象。</w:t>
      </w:r>
    </w:p>
    <w:p>
      <w:pPr>
        <w:ind w:firstLine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8.3变送器无进水现象。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8.4变送器外观武明显认为摔打现象。</w:t>
      </w:r>
    </w:p>
    <w:p>
      <w:pPr>
        <w:ind w:firstLine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8.5超过质保期。</w:t>
      </w:r>
    </w:p>
    <w:p>
      <w:pPr>
        <w:ind w:firstLine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免责条款为双方行业约定，压力传感器为特殊传感器，选型不当或者憋压均会导致压力超过正常压力的好几倍，所以在选型阶段，应该资讯技术人员选择合理的压力量程，确保使用寿命。</w:t>
      </w:r>
    </w:p>
    <w:p>
      <w:pPr>
        <w:ind w:firstLine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本变送器已经通过了中石油互联互通实验室认证，且已批量供货月多个中石油油田场合，目前有数万台在安全运行。我们提供A11产品的定制和OEM开发。另外提供A11协议的认证咨询服务。</w:t>
      </w:r>
    </w:p>
    <w:p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装箱清单</w:t>
      </w:r>
    </w:p>
    <w:tbl>
      <w:tblPr>
        <w:tblStyle w:val="7"/>
        <w:tblW w:w="462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19"/>
        <w:gridCol w:w="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11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82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1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无线压力变送器</w:t>
            </w:r>
          </w:p>
        </w:tc>
        <w:tc>
          <w:tcPr>
            <w:tcW w:w="827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1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使用说明书</w:t>
            </w:r>
          </w:p>
        </w:tc>
        <w:tc>
          <w:tcPr>
            <w:tcW w:w="827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1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出厂检定证书</w:t>
            </w:r>
          </w:p>
        </w:tc>
        <w:tc>
          <w:tcPr>
            <w:tcW w:w="827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1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合格证</w:t>
            </w:r>
          </w:p>
        </w:tc>
        <w:tc>
          <w:tcPr>
            <w:tcW w:w="827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宝鸡市利诺德电子科技有限公司</w:t>
      </w:r>
    </w:p>
    <w:sectPr>
      <w:pgSz w:w="5953" w:h="8392" w:orient="landscape"/>
      <w:pgMar w:top="340" w:right="340" w:bottom="340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4584384">
    <w:nsid w:val="59158C40"/>
    <w:multiLevelType w:val="singleLevel"/>
    <w:tmpl w:val="59158C40"/>
    <w:lvl w:ilvl="0" w:tentative="1">
      <w:start w:val="9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72211999">
    <w:nsid w:val="1C25621F"/>
    <w:multiLevelType w:val="multilevel"/>
    <w:tmpl w:val="1C25621F"/>
    <w:lvl w:ilvl="0" w:tentative="1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22143828">
    <w:nsid w:val="7E7D5854"/>
    <w:multiLevelType w:val="multilevel"/>
    <w:tmpl w:val="7E7D5854"/>
    <w:lvl w:ilvl="0" w:tentative="1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b w:val="0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18631029">
    <w:nsid w:val="2AD57075"/>
    <w:multiLevelType w:val="multilevel"/>
    <w:tmpl w:val="2AD57075"/>
    <w:lvl w:ilvl="0" w:tentative="1">
      <w:start w:val="6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94555334">
    <w:nsid w:val="59151AC6"/>
    <w:multiLevelType w:val="singleLevel"/>
    <w:tmpl w:val="59151AC6"/>
    <w:lvl w:ilvl="0" w:tentative="1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935700269">
    <w:nsid w:val="7360712D"/>
    <w:multiLevelType w:val="multilevel"/>
    <w:tmpl w:val="7360712D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22143828"/>
  </w:num>
  <w:num w:numId="2">
    <w:abstractNumId w:val="718631029"/>
  </w:num>
  <w:num w:numId="3">
    <w:abstractNumId w:val="1494555334"/>
  </w:num>
  <w:num w:numId="4">
    <w:abstractNumId w:val="1935700269"/>
  </w:num>
  <w:num w:numId="5">
    <w:abstractNumId w:val="472211999"/>
  </w:num>
  <w:num w:numId="6">
    <w:abstractNumId w:val="14945843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bookFoldPrinting w:val="1"/>
  <w:bookFoldPrintingSheets w:val="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CE7"/>
    <w:rsid w:val="00007F91"/>
    <w:rsid w:val="00013BE7"/>
    <w:rsid w:val="00052907"/>
    <w:rsid w:val="000D38CF"/>
    <w:rsid w:val="000F0D5E"/>
    <w:rsid w:val="00133579"/>
    <w:rsid w:val="001B1493"/>
    <w:rsid w:val="001E1298"/>
    <w:rsid w:val="001E34BC"/>
    <w:rsid w:val="00270EA3"/>
    <w:rsid w:val="002B010E"/>
    <w:rsid w:val="002B3848"/>
    <w:rsid w:val="002B7552"/>
    <w:rsid w:val="003141E5"/>
    <w:rsid w:val="003169F2"/>
    <w:rsid w:val="003B79C9"/>
    <w:rsid w:val="003E5B28"/>
    <w:rsid w:val="004F790D"/>
    <w:rsid w:val="00551DDA"/>
    <w:rsid w:val="00555A97"/>
    <w:rsid w:val="00580462"/>
    <w:rsid w:val="005A0079"/>
    <w:rsid w:val="005B0124"/>
    <w:rsid w:val="005D2414"/>
    <w:rsid w:val="006041CF"/>
    <w:rsid w:val="006350F7"/>
    <w:rsid w:val="006747E6"/>
    <w:rsid w:val="006E79EF"/>
    <w:rsid w:val="00740D97"/>
    <w:rsid w:val="0076262C"/>
    <w:rsid w:val="00794B80"/>
    <w:rsid w:val="007C0069"/>
    <w:rsid w:val="00884709"/>
    <w:rsid w:val="00892BC6"/>
    <w:rsid w:val="00931BA6"/>
    <w:rsid w:val="0093305A"/>
    <w:rsid w:val="00942B26"/>
    <w:rsid w:val="00945363"/>
    <w:rsid w:val="00974FF1"/>
    <w:rsid w:val="009A28F8"/>
    <w:rsid w:val="009D4832"/>
    <w:rsid w:val="00A12B5F"/>
    <w:rsid w:val="00A82726"/>
    <w:rsid w:val="00A9072A"/>
    <w:rsid w:val="00AA10AA"/>
    <w:rsid w:val="00B16792"/>
    <w:rsid w:val="00B406C1"/>
    <w:rsid w:val="00B43A93"/>
    <w:rsid w:val="00B52D22"/>
    <w:rsid w:val="00B54D28"/>
    <w:rsid w:val="00BB3289"/>
    <w:rsid w:val="00C31B5E"/>
    <w:rsid w:val="00C67B1A"/>
    <w:rsid w:val="00CA3986"/>
    <w:rsid w:val="00CB37D5"/>
    <w:rsid w:val="00CF3EFA"/>
    <w:rsid w:val="00D21F45"/>
    <w:rsid w:val="00D6691C"/>
    <w:rsid w:val="00DD4E98"/>
    <w:rsid w:val="00EC2CE7"/>
    <w:rsid w:val="00EE7EDE"/>
    <w:rsid w:val="00F05B76"/>
    <w:rsid w:val="00F24BA3"/>
    <w:rsid w:val="00F45FF6"/>
    <w:rsid w:val="00F86486"/>
    <w:rsid w:val="00FA16D8"/>
    <w:rsid w:val="07E67474"/>
    <w:rsid w:val="0AAA54C6"/>
    <w:rsid w:val="0FCF5195"/>
    <w:rsid w:val="12311B6C"/>
    <w:rsid w:val="18690B7D"/>
    <w:rsid w:val="18F24FF6"/>
    <w:rsid w:val="1944554B"/>
    <w:rsid w:val="1B2D6101"/>
    <w:rsid w:val="1DB134C5"/>
    <w:rsid w:val="1E135537"/>
    <w:rsid w:val="1E9A2069"/>
    <w:rsid w:val="1EE12A31"/>
    <w:rsid w:val="213D6018"/>
    <w:rsid w:val="21827698"/>
    <w:rsid w:val="22EA01D8"/>
    <w:rsid w:val="23AC7993"/>
    <w:rsid w:val="23CE4462"/>
    <w:rsid w:val="241A2323"/>
    <w:rsid w:val="27A8073D"/>
    <w:rsid w:val="27EB074F"/>
    <w:rsid w:val="289D633A"/>
    <w:rsid w:val="2A120A04"/>
    <w:rsid w:val="2ADD6F4B"/>
    <w:rsid w:val="2CF3741D"/>
    <w:rsid w:val="2DB6232D"/>
    <w:rsid w:val="2F2C1336"/>
    <w:rsid w:val="2F456524"/>
    <w:rsid w:val="303D2C0E"/>
    <w:rsid w:val="353654FB"/>
    <w:rsid w:val="3A911955"/>
    <w:rsid w:val="453E3004"/>
    <w:rsid w:val="46165063"/>
    <w:rsid w:val="4DEA1D3E"/>
    <w:rsid w:val="55994F9D"/>
    <w:rsid w:val="5C6A41C8"/>
    <w:rsid w:val="5E33216F"/>
    <w:rsid w:val="5F0D219E"/>
    <w:rsid w:val="626D2122"/>
    <w:rsid w:val="6513032A"/>
    <w:rsid w:val="669757F6"/>
    <w:rsid w:val="6A81492C"/>
    <w:rsid w:val="6BD93760"/>
    <w:rsid w:val="6E5C0012"/>
    <w:rsid w:val="6E734E2C"/>
    <w:rsid w:val="6F74305B"/>
    <w:rsid w:val="70937244"/>
    <w:rsid w:val="7098440F"/>
    <w:rsid w:val="72511FF5"/>
    <w:rsid w:val="73FD35FC"/>
    <w:rsid w:val="75756F19"/>
    <w:rsid w:val="76450994"/>
    <w:rsid w:val="767036C8"/>
    <w:rsid w:val="76A07160"/>
    <w:rsid w:val="771D5296"/>
    <w:rsid w:val="773A167C"/>
    <w:rsid w:val="77CE0A27"/>
    <w:rsid w:val="78FC47C4"/>
    <w:rsid w:val="7BF11DE8"/>
    <w:rsid w:val="7C8E32EC"/>
    <w:rsid w:val="7D1922A4"/>
    <w:rsid w:val="7E1C26D5"/>
    <w:rsid w:val="7EEB292B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266</Words>
  <Characters>1522</Characters>
  <Lines>12</Lines>
  <Paragraphs>3</Paragraphs>
  <ScaleCrop>false</ScaleCrop>
  <LinksUpToDate>false</LinksUpToDate>
  <CharactersWithSpaces>1785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2018-08-09T05:25:00Z</dcterms:created>
  <dc:creator>AutoBVT</dc:creator>
  <cp:lastModifiedBy>wjw</cp:lastModifiedBy>
  <cp:lastPrinted>2017-11-14T08:13:00Z</cp:lastPrinted>
  <dcterms:modified xsi:type="dcterms:W3CDTF">2020-06-01T02:20:13Z</dcterms:modified>
  <dc:title>执行产品标准：JBT10726-2007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